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B2D97" w:rsidRPr="008B2D97" w14:paraId="50848CC8" w14:textId="77777777" w:rsidTr="008B2D9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C3E685D" w14:textId="77777777" w:rsidR="008B2D97" w:rsidRPr="008B2D97" w:rsidRDefault="008B2D97" w:rsidP="008B2D97">
            <w:pPr>
              <w:spacing w:after="0" w:line="240" w:lineRule="atLeast"/>
              <w:rPr>
                <w:rFonts w:ascii="Tahoma" w:eastAsia="Times New Roman" w:hAnsi="Tahoma" w:cs="Tahoma"/>
                <w:sz w:val="20"/>
                <w:szCs w:val="20"/>
                <w:lang w:eastAsia="tr-TR"/>
              </w:rPr>
            </w:pPr>
            <w:r w:rsidRPr="008B2D97">
              <w:rPr>
                <w:rFonts w:ascii="Tahoma" w:eastAsia="Times New Roman" w:hAnsi="Tahoma" w:cs="Tahoma"/>
                <w:sz w:val="20"/>
                <w:szCs w:val="20"/>
                <w:lang w:eastAsia="tr-TR"/>
              </w:rPr>
              <w:t>29 Ocak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3698F8" w14:textId="77777777" w:rsidR="008B2D97" w:rsidRPr="008B2D97" w:rsidRDefault="008B2D97" w:rsidP="008B2D97">
            <w:pPr>
              <w:spacing w:after="0" w:line="240" w:lineRule="atLeast"/>
              <w:jc w:val="center"/>
              <w:rPr>
                <w:rFonts w:ascii="Tahoma" w:eastAsia="Times New Roman" w:hAnsi="Tahoma" w:cs="Tahoma"/>
                <w:sz w:val="20"/>
                <w:szCs w:val="20"/>
                <w:lang w:eastAsia="tr-TR"/>
              </w:rPr>
            </w:pPr>
            <w:r w:rsidRPr="008B2D97">
              <w:rPr>
                <w:rFonts w:ascii="Tahoma" w:eastAsia="Times New Roman" w:hAnsi="Tahoma" w:cs="Tahoma"/>
                <w:b/>
                <w:bCs/>
                <w:color w:val="80000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6972C1F" w14:textId="77777777" w:rsidR="008B2D97" w:rsidRPr="008B2D97" w:rsidRDefault="008B2D97" w:rsidP="008B2D97">
            <w:pPr>
              <w:spacing w:before="100" w:beforeAutospacing="1" w:after="100" w:afterAutospacing="1" w:line="240" w:lineRule="auto"/>
              <w:jc w:val="right"/>
              <w:rPr>
                <w:rFonts w:ascii="Tahoma" w:eastAsia="Times New Roman" w:hAnsi="Tahoma" w:cs="Tahoma"/>
                <w:sz w:val="20"/>
                <w:szCs w:val="20"/>
                <w:lang w:eastAsia="tr-TR"/>
              </w:rPr>
            </w:pPr>
            <w:r w:rsidRPr="008B2D97">
              <w:rPr>
                <w:rFonts w:ascii="Tahoma" w:eastAsia="Times New Roman" w:hAnsi="Tahoma" w:cs="Tahoma"/>
                <w:sz w:val="20"/>
                <w:szCs w:val="20"/>
                <w:lang w:eastAsia="tr-TR"/>
              </w:rPr>
              <w:t>Sayı : 31734</w:t>
            </w:r>
          </w:p>
        </w:tc>
      </w:tr>
      <w:tr w:rsidR="008B2D97" w:rsidRPr="008B2D97" w14:paraId="600B047C" w14:textId="77777777" w:rsidTr="008B2D97">
        <w:trPr>
          <w:trHeight w:val="480"/>
        </w:trPr>
        <w:tc>
          <w:tcPr>
            <w:tcW w:w="8789" w:type="dxa"/>
            <w:gridSpan w:val="3"/>
            <w:tcMar>
              <w:top w:w="0" w:type="dxa"/>
              <w:left w:w="108" w:type="dxa"/>
              <w:bottom w:w="0" w:type="dxa"/>
              <w:right w:w="108" w:type="dxa"/>
            </w:tcMar>
            <w:vAlign w:val="center"/>
            <w:hideMark/>
          </w:tcPr>
          <w:p w14:paraId="0819C79A" w14:textId="77777777" w:rsidR="008B2D97" w:rsidRPr="008B2D97" w:rsidRDefault="008B2D97" w:rsidP="008B2D97">
            <w:pPr>
              <w:spacing w:before="100" w:beforeAutospacing="1" w:after="100" w:afterAutospacing="1" w:line="240" w:lineRule="auto"/>
              <w:jc w:val="center"/>
              <w:rPr>
                <w:rFonts w:ascii="Tahoma" w:eastAsia="Times New Roman" w:hAnsi="Tahoma" w:cs="Tahoma"/>
                <w:sz w:val="20"/>
                <w:szCs w:val="20"/>
                <w:lang w:eastAsia="tr-TR"/>
              </w:rPr>
            </w:pPr>
            <w:r w:rsidRPr="008B2D97">
              <w:rPr>
                <w:rFonts w:ascii="Tahoma" w:eastAsia="Times New Roman" w:hAnsi="Tahoma" w:cs="Tahoma"/>
                <w:b/>
                <w:bCs/>
                <w:color w:val="000080"/>
                <w:sz w:val="20"/>
                <w:szCs w:val="20"/>
                <w:lang w:eastAsia="tr-TR"/>
              </w:rPr>
              <w:t>KANUN</w:t>
            </w:r>
          </w:p>
        </w:tc>
      </w:tr>
      <w:tr w:rsidR="008B2D97" w:rsidRPr="008B2D97" w14:paraId="50A46E11" w14:textId="77777777" w:rsidTr="008B2D97">
        <w:trPr>
          <w:trHeight w:val="480"/>
        </w:trPr>
        <w:tc>
          <w:tcPr>
            <w:tcW w:w="8789" w:type="dxa"/>
            <w:gridSpan w:val="3"/>
            <w:tcMar>
              <w:top w:w="0" w:type="dxa"/>
              <w:left w:w="108" w:type="dxa"/>
              <w:bottom w:w="0" w:type="dxa"/>
              <w:right w:w="108" w:type="dxa"/>
            </w:tcMar>
            <w:vAlign w:val="center"/>
            <w:hideMark/>
          </w:tcPr>
          <w:p w14:paraId="21B7E2F7" w14:textId="77777777" w:rsidR="008B2D97" w:rsidRPr="008B2D97" w:rsidRDefault="008B2D97" w:rsidP="008B2D97">
            <w:pPr>
              <w:spacing w:after="0" w:line="240" w:lineRule="atLeast"/>
              <w:jc w:val="center"/>
              <w:rPr>
                <w:rFonts w:ascii="Tahoma" w:eastAsia="Times New Roman" w:hAnsi="Tahoma" w:cs="Tahoma"/>
                <w:b/>
                <w:bCs/>
                <w:sz w:val="20"/>
                <w:szCs w:val="20"/>
                <w:lang w:eastAsia="tr-TR"/>
              </w:rPr>
            </w:pPr>
            <w:r w:rsidRPr="008B2D97">
              <w:rPr>
                <w:rFonts w:ascii="Tahoma" w:eastAsia="Times New Roman" w:hAnsi="Tahoma" w:cs="Tahoma"/>
                <w:b/>
                <w:bCs/>
                <w:sz w:val="20"/>
                <w:szCs w:val="20"/>
                <w:lang w:eastAsia="tr-TR"/>
              </w:rPr>
              <w:t>VERGİ USUL KANUNU İLE KURUMLAR VERGİSİ KANUNUNDA</w:t>
            </w:r>
          </w:p>
          <w:p w14:paraId="268AD002" w14:textId="77777777" w:rsidR="008B2D97" w:rsidRPr="008B2D97" w:rsidRDefault="008B2D97" w:rsidP="008B2D97">
            <w:pPr>
              <w:spacing w:after="0" w:line="240" w:lineRule="atLeast"/>
              <w:jc w:val="center"/>
              <w:rPr>
                <w:rFonts w:ascii="Tahoma" w:eastAsia="Times New Roman" w:hAnsi="Tahoma" w:cs="Tahoma"/>
                <w:b/>
                <w:bCs/>
                <w:sz w:val="20"/>
                <w:szCs w:val="20"/>
                <w:lang w:eastAsia="tr-TR"/>
              </w:rPr>
            </w:pPr>
            <w:r w:rsidRPr="008B2D97">
              <w:rPr>
                <w:rFonts w:ascii="Tahoma" w:eastAsia="Times New Roman" w:hAnsi="Tahoma" w:cs="Tahoma"/>
                <w:b/>
                <w:bCs/>
                <w:sz w:val="20"/>
                <w:szCs w:val="20"/>
                <w:lang w:eastAsia="tr-TR"/>
              </w:rPr>
              <w:t>DEĞİŞİKLİK YAPILMASINA DAİR KANUN</w:t>
            </w:r>
          </w:p>
          <w:p w14:paraId="365AB1FF" w14:textId="77777777" w:rsidR="008B2D97" w:rsidRPr="008B2D97" w:rsidRDefault="008B2D97" w:rsidP="008B2D97">
            <w:pPr>
              <w:spacing w:after="0" w:line="240" w:lineRule="atLeast"/>
              <w:jc w:val="center"/>
              <w:rPr>
                <w:rFonts w:ascii="Tahoma" w:eastAsia="Times New Roman" w:hAnsi="Tahoma" w:cs="Tahoma"/>
                <w:b/>
                <w:bCs/>
                <w:sz w:val="20"/>
                <w:szCs w:val="20"/>
                <w:lang w:eastAsia="tr-TR"/>
              </w:rPr>
            </w:pPr>
            <w:r w:rsidRPr="008B2D97">
              <w:rPr>
                <w:rFonts w:ascii="Tahoma" w:eastAsia="Times New Roman" w:hAnsi="Tahoma" w:cs="Tahoma"/>
                <w:b/>
                <w:bCs/>
                <w:sz w:val="20"/>
                <w:szCs w:val="20"/>
                <w:lang w:eastAsia="tr-TR"/>
              </w:rPr>
              <w:t> </w:t>
            </w:r>
          </w:p>
          <w:p w14:paraId="459775FF" w14:textId="77777777" w:rsidR="008B2D97" w:rsidRDefault="008B2D97" w:rsidP="008B2D97">
            <w:pPr>
              <w:spacing w:after="0" w:line="240" w:lineRule="atLeast"/>
              <w:jc w:val="both"/>
              <w:rPr>
                <w:rFonts w:ascii="Tahoma" w:eastAsia="Times New Roman" w:hAnsi="Tahoma" w:cs="Tahoma"/>
                <w:b/>
                <w:bCs/>
                <w:sz w:val="20"/>
                <w:szCs w:val="20"/>
                <w:u w:val="single"/>
                <w:lang w:eastAsia="tr-TR"/>
              </w:rPr>
            </w:pPr>
            <w:r w:rsidRPr="008B2D97">
              <w:rPr>
                <w:rFonts w:ascii="Tahoma" w:eastAsia="Times New Roman" w:hAnsi="Tahoma" w:cs="Tahoma"/>
                <w:b/>
                <w:bCs/>
                <w:sz w:val="20"/>
                <w:szCs w:val="20"/>
                <w:u w:val="single"/>
                <w:lang w:eastAsia="tr-TR"/>
              </w:rPr>
              <w:t>Kanun No. 7352</w:t>
            </w:r>
          </w:p>
          <w:p w14:paraId="4EAE911B" w14:textId="77777777" w:rsidR="008B2D97" w:rsidRDefault="008B2D97" w:rsidP="008B2D97">
            <w:pPr>
              <w:spacing w:after="0" w:line="240" w:lineRule="atLeast"/>
              <w:jc w:val="both"/>
              <w:rPr>
                <w:rFonts w:ascii="Tahoma" w:eastAsia="Times New Roman" w:hAnsi="Tahoma" w:cs="Tahoma"/>
                <w:b/>
                <w:bCs/>
                <w:sz w:val="20"/>
                <w:szCs w:val="20"/>
                <w:u w:val="single"/>
                <w:lang w:eastAsia="tr-TR"/>
              </w:rPr>
            </w:pPr>
          </w:p>
          <w:p w14:paraId="506B523C" w14:textId="1A019BCB" w:rsidR="008B2D97" w:rsidRDefault="008B2D97" w:rsidP="008B2D97">
            <w:pPr>
              <w:spacing w:after="0" w:line="240" w:lineRule="atLeast"/>
              <w:jc w:val="both"/>
              <w:rPr>
                <w:rFonts w:ascii="Tahoma" w:eastAsia="Times New Roman" w:hAnsi="Tahoma" w:cs="Tahoma"/>
                <w:b/>
                <w:bCs/>
                <w:sz w:val="20"/>
                <w:szCs w:val="20"/>
                <w:u w:val="single"/>
                <w:lang w:eastAsia="tr-TR"/>
              </w:rPr>
            </w:pPr>
            <w:r w:rsidRPr="008B2D97">
              <w:rPr>
                <w:rFonts w:ascii="Tahoma" w:eastAsia="Times New Roman" w:hAnsi="Tahoma" w:cs="Tahoma"/>
                <w:b/>
                <w:bCs/>
                <w:sz w:val="20"/>
                <w:szCs w:val="20"/>
                <w:u w:val="single"/>
                <w:lang w:eastAsia="tr-TR"/>
              </w:rPr>
              <w:t>Kabul Tarihi: 20/1/2022</w:t>
            </w:r>
          </w:p>
          <w:p w14:paraId="4AC26C33" w14:textId="77777777" w:rsidR="008B2D97" w:rsidRPr="008B2D97" w:rsidRDefault="008B2D97" w:rsidP="008B2D97">
            <w:pPr>
              <w:spacing w:after="0" w:line="240" w:lineRule="atLeast"/>
              <w:jc w:val="both"/>
              <w:rPr>
                <w:rFonts w:ascii="Tahoma" w:eastAsia="Times New Roman" w:hAnsi="Tahoma" w:cs="Tahoma"/>
                <w:sz w:val="20"/>
                <w:szCs w:val="20"/>
                <w:lang w:eastAsia="tr-TR"/>
              </w:rPr>
            </w:pPr>
          </w:p>
          <w:p w14:paraId="403EB664"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b/>
                <w:bCs/>
                <w:sz w:val="20"/>
                <w:szCs w:val="20"/>
                <w:lang w:eastAsia="tr-TR"/>
              </w:rPr>
              <w:t>MADDE 1 – </w:t>
            </w:r>
            <w:r w:rsidRPr="008B2D97">
              <w:rPr>
                <w:rFonts w:ascii="Tahoma" w:eastAsia="Times New Roman" w:hAnsi="Tahoma" w:cs="Tahoma"/>
                <w:sz w:val="20"/>
                <w:szCs w:val="20"/>
                <w:lang w:eastAsia="tr-TR"/>
              </w:rPr>
              <w:t>4/1/1961 tarihli ve 213 sayılı Vergi Usul Kanununa aşağıdaki geçici madde eklenmiştir.</w:t>
            </w:r>
          </w:p>
          <w:p w14:paraId="40E7F810"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“GEÇİCİ MADDE 33 – Geçici vergi dönemleri de dahil olmak üzere 2021 ve 2022 hesap dönemleri (kendilerine özel hesap dönemi tayin edilenlerde 2022 ve 2023 yılında biten hesap dönemleri itibarıyla) ile 2023 hesap dönemi geçici vergi dönemlerinde mükerrer 298 inci madde kapsamındaki enflasyon düzeltmesine ilişkin şartların oluşup oluşmadığına bakılmaksızın mali tablolar enflasyon düzeltmesine tabi tutulmaz.</w:t>
            </w:r>
          </w:p>
          <w:p w14:paraId="1E246092"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Mükerrer 298 inci maddenin (Ç) fıkrası uygulaması açısından, birinci fıkrada enflasyon düzeltmesi yapılmayacağı belirtilen dönemler enflasyon düzeltmesi şartlarının gerçekleşmediği dönem olarak değerlendirilir.</w:t>
            </w:r>
          </w:p>
          <w:p w14:paraId="749983F2"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31/12/2023 tarihli mali tablolar, enflasyon düzeltmesi şartlarının oluşup oluşmadığına bakılmaksızın enflasyon düzeltmesine tabi tutulur. Yapılan enflasyon düzeltmesinden kaynaklanan kâr/zarar farkı geçmiş yıllar kâr/zararı hesabında gösterilir. Bu şekilde tespit edilen geçmiş yıl kârı vergiye tabi tutulmaz, geçmiş yıl zararı zarar olarak kabul edilmez.</w:t>
            </w:r>
          </w:p>
          <w:p w14:paraId="4067E2FC"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Bu maddenin birinci, ikinci ve üçüncü fıkrası hükümleri, mükerrer 298 inci maddenin (A) fıkrasının (9) numaralı bendi kapsamında olan mükellefler bakımından geçerli değildir.</w:t>
            </w:r>
          </w:p>
          <w:p w14:paraId="6C7BB1FD"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Bu maddenin uygulanmasına ilişkin usul ve esasları belirlemeye Hazine ve Maliye Bakanlığı yetkilidir.”</w:t>
            </w:r>
          </w:p>
          <w:p w14:paraId="60682BF2"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b/>
                <w:bCs/>
                <w:sz w:val="20"/>
                <w:szCs w:val="20"/>
                <w:lang w:eastAsia="tr-TR"/>
              </w:rPr>
              <w:t>MADDE 2 –</w:t>
            </w:r>
            <w:r w:rsidRPr="008B2D97">
              <w:rPr>
                <w:rFonts w:ascii="Tahoma" w:eastAsia="Times New Roman" w:hAnsi="Tahoma" w:cs="Tahoma"/>
                <w:sz w:val="20"/>
                <w:szCs w:val="20"/>
                <w:lang w:eastAsia="tr-TR"/>
              </w:rPr>
              <w:t> 13/6/2006 tarihli ve 5520 sayılı Kurumlar Vergisi Kanununa aşağıdaki geçici madde eklenmiştir.</w:t>
            </w:r>
          </w:p>
          <w:p w14:paraId="176AD8A1"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“GEÇİCİ MADDE 14- (1) 14/1/1970 tarihli ve 1211 sayılı Türkiye Cumhuriyet Merkez Bankası Kanununun 4 üncü maddesinin üçüncü fıkrasının (I) numaralı bendinin (g) alt bendi hükmüne istinaden Türk lirası mevduat ve katılma hesaplarına dönüşümün desteklenmesi kapsamında dönüşüm kuru üzerinden Türk lirasına çevrilen hesaplar ile ilgili olarak; kurumların 31/12/2021 tarihli bilançolarında yer alan yabancı paralarını, dördüncü geçici vergi dönemine ilişkin beyannamenin verilme tarihine kadar Türk lirasına çevirmeleri ve bu suretle elde edilen Türk lirası varlığı, bu kapsamda açılan en az üç ay vadeli Türk lirası mevduat ve katılma hesaplarında değerlendirmeleri durumunda aşağıda belirtilen kazançlar kurumlar vergisinden müstesnadır:</w:t>
            </w:r>
          </w:p>
          <w:p w14:paraId="790559AC"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a) Bu fıkra kapsamındaki yabancı paraların dönem sonu değerlemesinden kaynaklanan kur farkı kazançlarının 1/10/2021 ila 31/12/2021 tarihleri arasındaki döneme isabet eden kısmı,</w:t>
            </w:r>
          </w:p>
          <w:p w14:paraId="5D4E1CBC"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b) 2021 yılı dördüncü geçici vergi dönemine ilişkin beyannamenin verilme tarihine kadar Türk lirasına çevrilen hesaplarla ilgili oluşan kur farkı kazançları ile söz konusu hesaplardan dönem sonu değerlemesinden kaynaklananlar da dâhil olmak üzere vade sonunda elde edilen faiz ve kâr payları ile diğer kazançlar.</w:t>
            </w:r>
          </w:p>
          <w:p w14:paraId="18B13EE0"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(2) Birinci fıkra kapsamına girmemekle birlikte, kurumların 31/12/2021 tarihli bilançolarında yer alan yabancı paralarını 2022 yılı sonuna kadar Türk lirası mevduat ve katılma hesaplarına dönüşümün desteklenmesi kapsamında dönüşüm kuru üzerinden Türk lirasına çevirmeleri ve bu suretle elde edilen Türk lirası varlığı en az üç ay vadeli Türk lirası mevduat ve katılma hesaplarında değerlendirmeleri durumunda oluşan kur farkı kazançlarının, geçici vergi dönemi sonu değerlemesiyle Türk lirasına çevrildiği tarih arasına isabet eden kısmı ile dönem sonu değerlemesinden kaynaklananlar da dâhil olmak üzere vade sonunda elde edilen faiz ve kâr payları ile diğer kazançlar kurumlar vergisinden müstesnadır.</w:t>
            </w:r>
          </w:p>
          <w:p w14:paraId="62C5E466"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 xml:space="preserve">(3) Kurumların 31/12/2021 tarihli bilançolarında yer alan altın hesabı ile bu tarihten sonra açılacak işlenmiş ve hurda altın karşılığı altın hesabı bakiyelerini 2022 yılı sonuna kadar Türk lirası mevduat ve katılma hesaplarına dönüşümün desteklenmesi kapsamında dönüşüm fiyatı üzerinden Türk lirasına çevirmeleri ve bu suretle elde edilen Türk lirası varlığı en az üç ay vadeli Türk lirası mevduat ve katılma hesaplarında değerlendirmeleri durumunda Türk lirasına çevrildiği tarihte </w:t>
            </w:r>
            <w:r w:rsidRPr="008B2D97">
              <w:rPr>
                <w:rFonts w:ascii="Tahoma" w:eastAsia="Times New Roman" w:hAnsi="Tahoma" w:cs="Tahoma"/>
                <w:sz w:val="20"/>
                <w:szCs w:val="20"/>
                <w:lang w:eastAsia="tr-TR"/>
              </w:rPr>
              <w:lastRenderedPageBreak/>
              <w:t>oluşan kazançlar ile dönem sonu değerlemesinden kaynaklananlar da dâhil olmak üzere vade sonunda elde edilen faiz ve kâr payları ile diğer kazançlar kurumlar vergisinden müstesnadır.</w:t>
            </w:r>
          </w:p>
          <w:p w14:paraId="5CD812C4"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(4) Bu maddede öngörülen süre ve şekilde dönüşüm kuru/fiyatı üzerinden Türk lirası mevduat ve katılma hesaplarına çevrilen yabancı paralar ile altın hesaplarına ilişkin olarak bu istisnayla sınırlı olmak üzere Kanunun 5 inci maddesinin üçüncü fıkrası hükmü uygulanmaz.</w:t>
            </w:r>
          </w:p>
          <w:p w14:paraId="6854D0C0"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(5) Bu maddenin birinci, ikinci ve üçüncü fıkralarında yer alan istisna hükümleri, aynı şartlarla geçerli olmak üzere bilanço esasına göre defter tutan gelir vergisi mükelleflerinin kazançları hakkında da uygulanır.</w:t>
            </w:r>
          </w:p>
          <w:p w14:paraId="18D95701"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(6) Türk lirası mevduat veya katılma hesabından vadeden önce çekim yapılması durumunda bu madde kapsamında istisna edilen tutarlar nedeniyle zamanında tahakkuk ettirilmeyen vergiler, vergi ziyaı cezası kesilmek suretiyle gecikme faiziyle birlikte tahsil olunur.”</w:t>
            </w:r>
          </w:p>
          <w:p w14:paraId="64EB8180"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b/>
                <w:bCs/>
                <w:sz w:val="20"/>
                <w:szCs w:val="20"/>
                <w:lang w:eastAsia="tr-TR"/>
              </w:rPr>
              <w:t>MADDE 3 –</w:t>
            </w:r>
            <w:r w:rsidRPr="008B2D97">
              <w:rPr>
                <w:rFonts w:ascii="Tahoma" w:eastAsia="Times New Roman" w:hAnsi="Tahoma" w:cs="Tahoma"/>
                <w:sz w:val="20"/>
                <w:szCs w:val="20"/>
                <w:lang w:eastAsia="tr-TR"/>
              </w:rPr>
              <w:t> Bu Kanun yayımı tarihinde yürürlüğe girer.</w:t>
            </w:r>
          </w:p>
          <w:p w14:paraId="39D3F7EC" w14:textId="77777777" w:rsidR="008B2D97" w:rsidRPr="008B2D97" w:rsidRDefault="008B2D97" w:rsidP="008B2D97">
            <w:pPr>
              <w:spacing w:after="0" w:line="240" w:lineRule="atLeast"/>
              <w:ind w:firstLine="566"/>
              <w:jc w:val="both"/>
              <w:rPr>
                <w:rFonts w:ascii="Tahoma" w:eastAsia="Times New Roman" w:hAnsi="Tahoma" w:cs="Tahoma"/>
                <w:sz w:val="20"/>
                <w:szCs w:val="20"/>
                <w:lang w:eastAsia="tr-TR"/>
              </w:rPr>
            </w:pPr>
            <w:r w:rsidRPr="008B2D97">
              <w:rPr>
                <w:rFonts w:ascii="Tahoma" w:eastAsia="Times New Roman" w:hAnsi="Tahoma" w:cs="Tahoma"/>
                <w:b/>
                <w:bCs/>
                <w:sz w:val="20"/>
                <w:szCs w:val="20"/>
                <w:lang w:eastAsia="tr-TR"/>
              </w:rPr>
              <w:t>MADDE 4 – </w:t>
            </w:r>
            <w:r w:rsidRPr="008B2D97">
              <w:rPr>
                <w:rFonts w:ascii="Tahoma" w:eastAsia="Times New Roman" w:hAnsi="Tahoma" w:cs="Tahoma"/>
                <w:sz w:val="20"/>
                <w:szCs w:val="20"/>
                <w:lang w:eastAsia="tr-TR"/>
              </w:rPr>
              <w:t>Bu Kanun hükümlerini Cumhurbaşkanı yürütür.</w:t>
            </w:r>
          </w:p>
          <w:p w14:paraId="4BF70194" w14:textId="77777777" w:rsidR="008B2D97" w:rsidRDefault="008B2D97" w:rsidP="008B2D97">
            <w:pPr>
              <w:spacing w:after="0" w:line="240" w:lineRule="atLeast"/>
              <w:jc w:val="both"/>
              <w:rPr>
                <w:rFonts w:ascii="Tahoma" w:eastAsia="Times New Roman" w:hAnsi="Tahoma" w:cs="Tahoma"/>
                <w:sz w:val="20"/>
                <w:szCs w:val="20"/>
                <w:lang w:eastAsia="tr-TR"/>
              </w:rPr>
            </w:pPr>
          </w:p>
          <w:p w14:paraId="13DAEC35" w14:textId="1FBDB5DF" w:rsidR="008B2D97" w:rsidRPr="008B2D97" w:rsidRDefault="008B2D97" w:rsidP="008B2D97">
            <w:pPr>
              <w:spacing w:after="0" w:line="240" w:lineRule="atLeast"/>
              <w:jc w:val="both"/>
              <w:rPr>
                <w:rFonts w:ascii="Tahoma" w:eastAsia="Times New Roman" w:hAnsi="Tahoma" w:cs="Tahoma"/>
                <w:sz w:val="20"/>
                <w:szCs w:val="20"/>
                <w:lang w:eastAsia="tr-TR"/>
              </w:rPr>
            </w:pPr>
            <w:r w:rsidRPr="008B2D97">
              <w:rPr>
                <w:rFonts w:ascii="Tahoma" w:eastAsia="Times New Roman" w:hAnsi="Tahoma" w:cs="Tahoma"/>
                <w:sz w:val="20"/>
                <w:szCs w:val="20"/>
                <w:lang w:eastAsia="tr-TR"/>
              </w:rPr>
              <w:t>28/01/2022</w:t>
            </w:r>
          </w:p>
        </w:tc>
      </w:tr>
    </w:tbl>
    <w:p w14:paraId="1494F812" w14:textId="77777777" w:rsidR="0000281C" w:rsidRPr="008B2D97" w:rsidRDefault="0000281C">
      <w:pPr>
        <w:rPr>
          <w:rFonts w:ascii="Tahoma" w:hAnsi="Tahoma" w:cs="Tahoma"/>
          <w:sz w:val="20"/>
          <w:szCs w:val="20"/>
        </w:rPr>
      </w:pPr>
    </w:p>
    <w:sectPr w:rsidR="0000281C" w:rsidRPr="008B2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97"/>
    <w:rsid w:val="0000281C"/>
    <w:rsid w:val="008B2D97"/>
    <w:rsid w:val="00A40A1B"/>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5D6"/>
  <w15:chartTrackingRefBased/>
  <w15:docId w15:val="{07BB9D80-A8E1-4D7F-A4BC-EB0C8F6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2D97"/>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8B2D97"/>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8B2D97"/>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8B2D97"/>
  </w:style>
  <w:style w:type="character" w:customStyle="1" w:styleId="spelle">
    <w:name w:val="spelle"/>
    <w:basedOn w:val="VarsaylanParagrafYazTipi"/>
    <w:rsid w:val="008B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2022-01-31T06:54:00Z</dcterms:created>
  <dcterms:modified xsi:type="dcterms:W3CDTF">2022-01-31T06:54:00Z</dcterms:modified>
</cp:coreProperties>
</file>